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665" w:rsidRPr="009D7665" w:rsidRDefault="009D7665" w:rsidP="009D7665">
      <w:pPr>
        <w:shd w:val="clear" w:color="auto" w:fill="FFFFFF"/>
        <w:spacing w:before="210" w:after="60"/>
        <w:outlineLvl w:val="0"/>
        <w:rPr>
          <w:rFonts w:ascii="Helvetica" w:eastAsia="Times New Roman" w:hAnsi="Helvetica" w:cs="Helvetica"/>
          <w:b/>
          <w:bCs/>
          <w:color w:val="222222"/>
          <w:kern w:val="36"/>
          <w:sz w:val="42"/>
          <w:szCs w:val="42"/>
          <w:lang w:eastAsia="sv-SE"/>
        </w:rPr>
      </w:pPr>
      <w:r>
        <w:rPr>
          <w:noProof/>
          <w:lang w:eastAsia="sv-SE"/>
        </w:rPr>
        <w:drawing>
          <wp:anchor distT="0" distB="0" distL="114300" distR="114300" simplePos="0" relativeHeight="251658240" behindDoc="0" locked="0" layoutInCell="1" allowOverlap="1">
            <wp:simplePos x="0" y="0"/>
            <wp:positionH relativeFrom="margin">
              <wp:posOffset>1637461</wp:posOffset>
            </wp:positionH>
            <wp:positionV relativeFrom="margin">
              <wp:posOffset>-334010</wp:posOffset>
            </wp:positionV>
            <wp:extent cx="1906270" cy="750570"/>
            <wp:effectExtent l="0" t="0" r="0" b="0"/>
            <wp:wrapSquare wrapText="bothSides"/>
            <wp:docPr id="4" name="Bildobjekt 4" descr="Bildresultat fÃ¶r storuman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ildresultat fÃ¶r storuman kommu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6270" cy="750570"/>
                    </a:xfrm>
                    <a:prstGeom prst="rect">
                      <a:avLst/>
                    </a:prstGeom>
                    <a:noFill/>
                    <a:ln>
                      <a:noFill/>
                    </a:ln>
                  </pic:spPr>
                </pic:pic>
              </a:graphicData>
            </a:graphic>
          </wp:anchor>
        </w:drawing>
      </w:r>
      <w:r w:rsidRPr="009D7665">
        <w:rPr>
          <w:rFonts w:ascii="Helvetica" w:eastAsia="Times New Roman" w:hAnsi="Helvetica" w:cs="Helvetica"/>
          <w:b/>
          <w:bCs/>
          <w:color w:val="222222"/>
          <w:kern w:val="36"/>
          <w:sz w:val="42"/>
          <w:szCs w:val="42"/>
          <w:lang w:eastAsia="sv-SE"/>
        </w:rPr>
        <w:t>Spiketält</w:t>
      </w:r>
      <w:r w:rsidRPr="009D7665">
        <w:t xml:space="preserve"> </w:t>
      </w:r>
    </w:p>
    <w:p w:rsidR="009D7665" w:rsidRDefault="009D7665" w:rsidP="009D7665">
      <w:pPr>
        <w:spacing w:after="225"/>
        <w:rPr>
          <w:rFonts w:ascii="inherit" w:eastAsia="Times New Roman" w:hAnsi="inherit" w:cs="Arial"/>
          <w:b/>
          <w:bCs/>
          <w:color w:val="222222"/>
          <w:sz w:val="23"/>
          <w:szCs w:val="23"/>
          <w:lang w:eastAsia="sv-SE"/>
        </w:rPr>
      </w:pPr>
    </w:p>
    <w:p w:rsidR="009D7665" w:rsidRPr="009D7665" w:rsidRDefault="009D7665" w:rsidP="009D7665">
      <w:pPr>
        <w:spacing w:after="225"/>
        <w:rPr>
          <w:rFonts w:ascii="inherit" w:eastAsia="Times New Roman" w:hAnsi="inherit" w:cs="Arial"/>
          <w:b/>
          <w:bCs/>
          <w:color w:val="222222"/>
          <w:sz w:val="23"/>
          <w:szCs w:val="23"/>
          <w:lang w:eastAsia="sv-SE"/>
        </w:rPr>
      </w:pPr>
      <w:bookmarkStart w:id="0" w:name="_GoBack"/>
      <w:bookmarkEnd w:id="0"/>
      <w:r w:rsidRPr="009D7665">
        <w:rPr>
          <w:rFonts w:ascii="inherit" w:eastAsia="Times New Roman" w:hAnsi="inherit" w:cs="Arial"/>
          <w:b/>
          <w:bCs/>
          <w:color w:val="222222"/>
          <w:sz w:val="23"/>
          <w:szCs w:val="23"/>
          <w:lang w:eastAsia="sv-SE"/>
        </w:rPr>
        <w:t>På våra Campingar blir det allt vanligare att förstugor, så kallade ”</w:t>
      </w:r>
      <w:proofErr w:type="spellStart"/>
      <w:r w:rsidRPr="009D7665">
        <w:rPr>
          <w:rFonts w:ascii="inherit" w:eastAsia="Times New Roman" w:hAnsi="inherit" w:cs="Arial"/>
          <w:b/>
          <w:bCs/>
          <w:color w:val="222222"/>
          <w:sz w:val="23"/>
          <w:szCs w:val="23"/>
          <w:lang w:eastAsia="sv-SE"/>
        </w:rPr>
        <w:t>spiketält</w:t>
      </w:r>
      <w:proofErr w:type="spellEnd"/>
      <w:r w:rsidRPr="009D7665">
        <w:rPr>
          <w:rFonts w:ascii="inherit" w:eastAsia="Times New Roman" w:hAnsi="inherit" w:cs="Arial"/>
          <w:b/>
          <w:bCs/>
          <w:color w:val="222222"/>
          <w:sz w:val="23"/>
          <w:szCs w:val="23"/>
          <w:lang w:eastAsia="sv-SE"/>
        </w:rPr>
        <w:t xml:space="preserve">” etableras. Dessa </w:t>
      </w:r>
      <w:proofErr w:type="spellStart"/>
      <w:r w:rsidRPr="009D7665">
        <w:rPr>
          <w:rFonts w:ascii="inherit" w:eastAsia="Times New Roman" w:hAnsi="inherit" w:cs="Arial"/>
          <w:b/>
          <w:bCs/>
          <w:color w:val="222222"/>
          <w:sz w:val="23"/>
          <w:szCs w:val="23"/>
          <w:lang w:eastAsia="sv-SE"/>
        </w:rPr>
        <w:t>spiketält</w:t>
      </w:r>
      <w:proofErr w:type="spellEnd"/>
      <w:r w:rsidRPr="009D7665">
        <w:rPr>
          <w:rFonts w:ascii="inherit" w:eastAsia="Times New Roman" w:hAnsi="inherit" w:cs="Arial"/>
          <w:b/>
          <w:bCs/>
          <w:color w:val="222222"/>
          <w:sz w:val="23"/>
          <w:szCs w:val="23"/>
          <w:lang w:eastAsia="sv-SE"/>
        </w:rPr>
        <w:t xml:space="preserve"> byggs på avsedd campingplats och övergår till att bli en fast byggnad under hela året. Husvagnsägaren ”dockar” sin husvagn mot detta </w:t>
      </w:r>
      <w:proofErr w:type="spellStart"/>
      <w:r w:rsidRPr="009D7665">
        <w:rPr>
          <w:rFonts w:ascii="inherit" w:eastAsia="Times New Roman" w:hAnsi="inherit" w:cs="Arial"/>
          <w:b/>
          <w:bCs/>
          <w:color w:val="222222"/>
          <w:sz w:val="23"/>
          <w:szCs w:val="23"/>
          <w:lang w:eastAsia="sv-SE"/>
        </w:rPr>
        <w:t>spiketält</w:t>
      </w:r>
      <w:proofErr w:type="spellEnd"/>
      <w:r w:rsidRPr="009D7665">
        <w:rPr>
          <w:rFonts w:ascii="inherit" w:eastAsia="Times New Roman" w:hAnsi="inherit" w:cs="Arial"/>
          <w:b/>
          <w:bCs/>
          <w:color w:val="222222"/>
          <w:sz w:val="23"/>
          <w:szCs w:val="23"/>
          <w:lang w:eastAsia="sv-SE"/>
        </w:rPr>
        <w:t>.</w:t>
      </w:r>
    </w:p>
    <w:p w:rsidR="009D7665" w:rsidRPr="009D7665" w:rsidRDefault="009D7665" w:rsidP="009D7665">
      <w:pPr>
        <w:spacing w:after="225"/>
        <w:rPr>
          <w:rFonts w:ascii="inherit" w:eastAsia="Times New Roman" w:hAnsi="inherit" w:cs="Arial"/>
          <w:color w:val="222222"/>
          <w:sz w:val="20"/>
          <w:szCs w:val="20"/>
          <w:lang w:eastAsia="sv-SE"/>
        </w:rPr>
      </w:pPr>
      <w:r w:rsidRPr="009D7665">
        <w:rPr>
          <w:rFonts w:ascii="inherit" w:eastAsia="Times New Roman" w:hAnsi="inherit" w:cs="Arial"/>
          <w:color w:val="222222"/>
          <w:sz w:val="20"/>
          <w:szCs w:val="20"/>
          <w:u w:val="single"/>
          <w:lang w:eastAsia="sv-SE"/>
        </w:rPr>
        <w:t>Plan och Bygg Lagen</w:t>
      </w:r>
      <w:proofErr w:type="gramStart"/>
      <w:r w:rsidRPr="009D7665">
        <w:rPr>
          <w:rFonts w:ascii="inherit" w:eastAsia="Times New Roman" w:hAnsi="inherit" w:cs="Arial"/>
          <w:color w:val="222222"/>
          <w:sz w:val="20"/>
          <w:szCs w:val="20"/>
          <w:u w:val="single"/>
          <w:lang w:eastAsia="sv-SE"/>
        </w:rPr>
        <w:t xml:space="preserve"> (PBL 1.</w:t>
      </w:r>
      <w:proofErr w:type="gramEnd"/>
      <w:r w:rsidRPr="009D7665">
        <w:rPr>
          <w:rFonts w:ascii="inherit" w:eastAsia="Times New Roman" w:hAnsi="inherit" w:cs="Arial"/>
          <w:color w:val="222222"/>
          <w:sz w:val="20"/>
          <w:szCs w:val="20"/>
          <w:u w:val="single"/>
          <w:lang w:eastAsia="sv-SE"/>
        </w:rPr>
        <w:t xml:space="preserve"> KAP § 4)</w:t>
      </w:r>
      <w:r w:rsidRPr="009D7665">
        <w:rPr>
          <w:rFonts w:ascii="inherit" w:eastAsia="Times New Roman" w:hAnsi="inherit" w:cs="Arial"/>
          <w:color w:val="222222"/>
          <w:sz w:val="20"/>
          <w:szCs w:val="20"/>
          <w:lang w:eastAsia="sv-SE"/>
        </w:rPr>
        <w:t xml:space="preserve"> förtydligar att det krävs bygglov för dessa Spiketält. Vid olika tillfällen önskas dessa </w:t>
      </w:r>
      <w:proofErr w:type="spellStart"/>
      <w:r w:rsidRPr="009D7665">
        <w:rPr>
          <w:rFonts w:ascii="inherit" w:eastAsia="Times New Roman" w:hAnsi="inherit" w:cs="Arial"/>
          <w:color w:val="222222"/>
          <w:sz w:val="20"/>
          <w:szCs w:val="20"/>
          <w:lang w:eastAsia="sv-SE"/>
        </w:rPr>
        <w:t>spiketält</w:t>
      </w:r>
      <w:proofErr w:type="spellEnd"/>
      <w:r w:rsidRPr="009D7665">
        <w:rPr>
          <w:rFonts w:ascii="inherit" w:eastAsia="Times New Roman" w:hAnsi="inherit" w:cs="Arial"/>
          <w:color w:val="222222"/>
          <w:sz w:val="20"/>
          <w:szCs w:val="20"/>
          <w:lang w:eastAsia="sv-SE"/>
        </w:rPr>
        <w:t xml:space="preserve"> placeras inom strandskydd varpå strandskyddsdispens krävs. Byggloven kan prövas inom ett campingområde efter ansökan av verksamhetsutövare eller enskild husvagnsägare för enstaka </w:t>
      </w:r>
      <w:proofErr w:type="spellStart"/>
      <w:r w:rsidRPr="009D7665">
        <w:rPr>
          <w:rFonts w:ascii="inherit" w:eastAsia="Times New Roman" w:hAnsi="inherit" w:cs="Arial"/>
          <w:color w:val="222222"/>
          <w:sz w:val="20"/>
          <w:szCs w:val="20"/>
          <w:lang w:eastAsia="sv-SE"/>
        </w:rPr>
        <w:t>spiketält</w:t>
      </w:r>
      <w:proofErr w:type="spellEnd"/>
      <w:r w:rsidRPr="009D7665">
        <w:rPr>
          <w:rFonts w:ascii="inherit" w:eastAsia="Times New Roman" w:hAnsi="inherit" w:cs="Arial"/>
          <w:color w:val="222222"/>
          <w:sz w:val="20"/>
          <w:szCs w:val="20"/>
          <w:lang w:eastAsia="sv-SE"/>
        </w:rPr>
        <w:t>.</w:t>
      </w:r>
    </w:p>
    <w:p w:rsidR="009D7665" w:rsidRPr="009D7665" w:rsidRDefault="009D7665" w:rsidP="009D7665">
      <w:pPr>
        <w:spacing w:after="225"/>
        <w:rPr>
          <w:rFonts w:ascii="inherit" w:eastAsia="Times New Roman" w:hAnsi="inherit" w:cs="Arial"/>
          <w:color w:val="222222"/>
          <w:sz w:val="20"/>
          <w:szCs w:val="20"/>
          <w:lang w:eastAsia="sv-SE"/>
        </w:rPr>
      </w:pPr>
      <w:r w:rsidRPr="009D7665">
        <w:rPr>
          <w:rFonts w:ascii="inherit" w:eastAsia="Times New Roman" w:hAnsi="inherit" w:cs="Arial"/>
          <w:color w:val="222222"/>
          <w:sz w:val="20"/>
          <w:szCs w:val="20"/>
          <w:u w:val="single"/>
          <w:lang w:eastAsia="sv-SE"/>
        </w:rPr>
        <w:t>Miljöbalken (1998:808) 2. KAP.</w:t>
      </w:r>
      <w:r w:rsidRPr="009D7665">
        <w:rPr>
          <w:rFonts w:ascii="inherit" w:eastAsia="Times New Roman" w:hAnsi="inherit" w:cs="Arial"/>
          <w:color w:val="222222"/>
          <w:sz w:val="20"/>
          <w:szCs w:val="20"/>
          <w:lang w:eastAsia="sv-SE"/>
        </w:rPr>
        <w:t> Allmänna hänsynsregler. Campingägare som bedriver eller avser att bedriva en verksamhet eller vidta en åtgärd skall bland annat ska skaffa sig den kunskap som behövs med hänsyn till verksamhetens eller åtgärdens art och omfattning för att skydda människors hälsa och miljön mot skada eller olägenhet.</w:t>
      </w:r>
    </w:p>
    <w:p w:rsidR="009D7665" w:rsidRPr="009D7665" w:rsidRDefault="009D7665" w:rsidP="009D7665">
      <w:pPr>
        <w:spacing w:after="225"/>
        <w:rPr>
          <w:rFonts w:ascii="inherit" w:eastAsia="Times New Roman" w:hAnsi="inherit" w:cs="Arial"/>
          <w:color w:val="222222"/>
          <w:sz w:val="20"/>
          <w:szCs w:val="20"/>
          <w:lang w:eastAsia="sv-SE"/>
        </w:rPr>
      </w:pPr>
      <w:r w:rsidRPr="009D7665">
        <w:rPr>
          <w:rFonts w:ascii="inherit" w:eastAsia="Times New Roman" w:hAnsi="inherit" w:cs="Arial"/>
          <w:color w:val="222222"/>
          <w:sz w:val="20"/>
          <w:szCs w:val="20"/>
          <w:u w:val="single"/>
          <w:lang w:eastAsia="sv-SE"/>
        </w:rPr>
        <w:t>(BFS 2011:5, ALM)</w:t>
      </w:r>
      <w:r w:rsidRPr="009D7665">
        <w:rPr>
          <w:rFonts w:ascii="inherit" w:eastAsia="Times New Roman" w:hAnsi="inherit" w:cs="Arial"/>
          <w:color w:val="222222"/>
          <w:sz w:val="20"/>
          <w:szCs w:val="20"/>
          <w:lang w:eastAsia="sv-SE"/>
        </w:rPr>
        <w:t> Boverkets föreskrifter och allmänna råd om tillgänglighet och användbarhet för personer med nedsatt rörelse- eller orienteringsförmåga på allmänna platser och inom områden för andra anläggningar än byggnader.</w:t>
      </w:r>
    </w:p>
    <w:p w:rsidR="009D7665" w:rsidRPr="009D7665" w:rsidRDefault="009D7665" w:rsidP="009D7665">
      <w:pPr>
        <w:spacing w:after="225"/>
        <w:rPr>
          <w:rFonts w:ascii="inherit" w:eastAsia="Times New Roman" w:hAnsi="inherit" w:cs="Arial"/>
          <w:color w:val="222222"/>
          <w:sz w:val="20"/>
          <w:szCs w:val="20"/>
          <w:lang w:eastAsia="sv-SE"/>
        </w:rPr>
      </w:pPr>
      <w:r w:rsidRPr="009D7665">
        <w:rPr>
          <w:rFonts w:ascii="inherit" w:eastAsia="Times New Roman" w:hAnsi="inherit" w:cs="Arial"/>
          <w:color w:val="222222"/>
          <w:sz w:val="20"/>
          <w:szCs w:val="20"/>
          <w:u w:val="single"/>
          <w:lang w:eastAsia="sv-SE"/>
        </w:rPr>
        <w:t>Regelsamling för byggande, BBR.</w:t>
      </w:r>
      <w:r w:rsidRPr="009D7665">
        <w:rPr>
          <w:rFonts w:ascii="inherit" w:eastAsia="Times New Roman" w:hAnsi="inherit" w:cs="Arial"/>
          <w:color w:val="222222"/>
          <w:sz w:val="20"/>
          <w:szCs w:val="20"/>
          <w:lang w:eastAsia="sv-SE"/>
        </w:rPr>
        <w:t> Byggnader ska utformas med sådant brandskydd att brandsäkerheten blir tillfredsställande. Utformningen av brandskyddet ska förutsätta att brand kan uppkomma. Brandskyddet ska utformas med betryggande robusthet så att hela eller stora delar av skyddet inte slås ut av enskilda händelser eller påfrestningar.</w:t>
      </w:r>
    </w:p>
    <w:p w:rsidR="009D7665" w:rsidRPr="009D7665" w:rsidRDefault="009D7665" w:rsidP="009D7665">
      <w:pPr>
        <w:spacing w:after="225"/>
        <w:rPr>
          <w:rFonts w:ascii="inherit" w:eastAsia="Times New Roman" w:hAnsi="inherit" w:cs="Arial"/>
          <w:color w:val="222222"/>
          <w:sz w:val="20"/>
          <w:szCs w:val="20"/>
          <w:lang w:eastAsia="sv-SE"/>
        </w:rPr>
      </w:pPr>
      <w:r w:rsidRPr="009D7665">
        <w:rPr>
          <w:rFonts w:ascii="inherit" w:eastAsia="Times New Roman" w:hAnsi="inherit" w:cs="Arial"/>
          <w:color w:val="222222"/>
          <w:sz w:val="20"/>
          <w:szCs w:val="20"/>
          <w:lang w:eastAsia="sv-SE"/>
        </w:rPr>
        <w:t xml:space="preserve">Inom campingområden med detaljplan fastställer planbestämmelserna riktlinjerna. Inom områden utan detaljplan är det upp till upplåtaren/campingen att lämna riktlinjer. Miljö- och samhällsbyggnadsnämnden visar exempel på hur en anordning med </w:t>
      </w:r>
      <w:proofErr w:type="spellStart"/>
      <w:r w:rsidRPr="009D7665">
        <w:rPr>
          <w:rFonts w:ascii="inherit" w:eastAsia="Times New Roman" w:hAnsi="inherit" w:cs="Arial"/>
          <w:color w:val="222222"/>
          <w:sz w:val="20"/>
          <w:szCs w:val="20"/>
          <w:lang w:eastAsia="sv-SE"/>
        </w:rPr>
        <w:t>spiketält</w:t>
      </w:r>
      <w:proofErr w:type="spellEnd"/>
      <w:r w:rsidRPr="009D7665">
        <w:rPr>
          <w:rFonts w:ascii="inherit" w:eastAsia="Times New Roman" w:hAnsi="inherit" w:cs="Arial"/>
          <w:color w:val="222222"/>
          <w:sz w:val="20"/>
          <w:szCs w:val="20"/>
          <w:lang w:eastAsia="sv-SE"/>
        </w:rPr>
        <w:t xml:space="preserve"> och skärmtak över husvagn kan tillåtas. Ritningarna finns i högre upplösning om du klickar på länken nedan:</w:t>
      </w:r>
    </w:p>
    <w:p w:rsidR="009D7665" w:rsidRDefault="009D7665" w:rsidP="009D7665">
      <w:pPr>
        <w:spacing w:after="225"/>
        <w:rPr>
          <w:rFonts w:ascii="inherit" w:eastAsia="Times New Roman" w:hAnsi="inherit" w:cs="Arial"/>
          <w:color w:val="222222"/>
          <w:sz w:val="20"/>
          <w:szCs w:val="20"/>
          <w:lang w:eastAsia="sv-SE"/>
        </w:rPr>
      </w:pPr>
      <w:hyperlink r:id="rId5" w:tgtFrame="_blank" w:history="1">
        <w:r w:rsidRPr="009D7665">
          <w:rPr>
            <w:rFonts w:ascii="inherit" w:eastAsia="Times New Roman" w:hAnsi="inherit" w:cs="Arial"/>
            <w:color w:val="004187"/>
            <w:sz w:val="20"/>
            <w:szCs w:val="20"/>
            <w:u w:val="single"/>
            <w:lang w:eastAsia="sv-SE"/>
          </w:rPr>
          <w:t xml:space="preserve">Anvisningar för </w:t>
        </w:r>
        <w:proofErr w:type="spellStart"/>
        <w:r w:rsidRPr="009D7665">
          <w:rPr>
            <w:rFonts w:ascii="inherit" w:eastAsia="Times New Roman" w:hAnsi="inherit" w:cs="Arial"/>
            <w:color w:val="004187"/>
            <w:sz w:val="20"/>
            <w:szCs w:val="20"/>
            <w:u w:val="single"/>
            <w:lang w:eastAsia="sv-SE"/>
          </w:rPr>
          <w:t>spiketält</w:t>
        </w:r>
        <w:proofErr w:type="spellEnd"/>
        <w:r w:rsidRPr="009D7665">
          <w:rPr>
            <w:rFonts w:ascii="inherit" w:eastAsia="Times New Roman" w:hAnsi="inherit" w:cs="Arial"/>
            <w:color w:val="004187"/>
            <w:sz w:val="20"/>
            <w:szCs w:val="20"/>
            <w:u w:val="single"/>
            <w:lang w:eastAsia="sv-SE"/>
          </w:rPr>
          <w:t xml:space="preserve"> (</w:t>
        </w:r>
        <w:proofErr w:type="spellStart"/>
        <w:r w:rsidRPr="009D7665">
          <w:rPr>
            <w:rFonts w:ascii="inherit" w:eastAsia="Times New Roman" w:hAnsi="inherit" w:cs="Arial"/>
            <w:color w:val="004187"/>
            <w:sz w:val="20"/>
            <w:szCs w:val="20"/>
            <w:u w:val="single"/>
            <w:lang w:eastAsia="sv-SE"/>
          </w:rPr>
          <w:t>pdf</w:t>
        </w:r>
        <w:proofErr w:type="spellEnd"/>
        <w:r w:rsidRPr="009D7665">
          <w:rPr>
            <w:rFonts w:ascii="inherit" w:eastAsia="Times New Roman" w:hAnsi="inherit" w:cs="Arial"/>
            <w:color w:val="004187"/>
            <w:sz w:val="20"/>
            <w:szCs w:val="20"/>
            <w:u w:val="single"/>
            <w:lang w:eastAsia="sv-SE"/>
          </w:rPr>
          <w:t>, öppnas i nytt fönster)</w:t>
        </w:r>
      </w:hyperlink>
    </w:p>
    <w:p w:rsidR="009D7665" w:rsidRDefault="009D7665" w:rsidP="009D7665">
      <w:pPr>
        <w:spacing w:after="225"/>
        <w:rPr>
          <w:rFonts w:ascii="inherit" w:eastAsia="Times New Roman" w:hAnsi="inherit" w:cs="Arial"/>
          <w:color w:val="222222"/>
          <w:sz w:val="20"/>
          <w:szCs w:val="20"/>
          <w:lang w:eastAsia="sv-SE"/>
        </w:rPr>
      </w:pPr>
      <w:r>
        <w:rPr>
          <w:rFonts w:ascii="inherit" w:eastAsia="Times New Roman" w:hAnsi="inherit" w:cs="Arial"/>
          <w:color w:val="222222"/>
          <w:sz w:val="20"/>
          <w:szCs w:val="20"/>
          <w:lang w:eastAsia="sv-SE"/>
        </w:rPr>
        <w:t xml:space="preserve">Se även ritningar nästa sida. </w:t>
      </w:r>
      <w:r>
        <w:rPr>
          <w:noProof/>
          <w:lang w:eastAsia="sv-SE"/>
        </w:rPr>
        <w:drawing>
          <wp:inline distT="0" distB="0" distL="0" distR="0">
            <wp:extent cx="5011947" cy="2555463"/>
            <wp:effectExtent l="0" t="0" r="0" b="0"/>
            <wp:docPr id="2" name="Bildobjekt 2" descr="SpiketÃ¤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iketÃ¤lt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9758" cy="2559446"/>
                    </a:xfrm>
                    <a:prstGeom prst="rect">
                      <a:avLst/>
                    </a:prstGeom>
                    <a:noFill/>
                    <a:ln>
                      <a:noFill/>
                    </a:ln>
                  </pic:spPr>
                </pic:pic>
              </a:graphicData>
            </a:graphic>
          </wp:inline>
        </w:drawing>
      </w:r>
    </w:p>
    <w:p w:rsidR="009D7665" w:rsidRDefault="009D7665" w:rsidP="009D7665">
      <w:pPr>
        <w:spacing w:after="225"/>
        <w:rPr>
          <w:rFonts w:ascii="inherit" w:eastAsia="Times New Roman" w:hAnsi="inherit" w:cs="Arial"/>
          <w:color w:val="222222"/>
          <w:sz w:val="20"/>
          <w:szCs w:val="20"/>
          <w:lang w:eastAsia="sv-SE"/>
        </w:rPr>
      </w:pPr>
      <w:r>
        <w:rPr>
          <w:noProof/>
          <w:lang w:eastAsia="sv-SE"/>
        </w:rPr>
        <w:lastRenderedPageBreak/>
        <w:drawing>
          <wp:inline distT="0" distB="0" distL="0" distR="0">
            <wp:extent cx="5296619" cy="3261904"/>
            <wp:effectExtent l="0" t="0" r="0" b="0"/>
            <wp:docPr id="3" name="Bildobjekt 3" descr="SpiketÃ¤lt fas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iketÃ¤lt fasad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1611" cy="3271137"/>
                    </a:xfrm>
                    <a:prstGeom prst="rect">
                      <a:avLst/>
                    </a:prstGeom>
                    <a:noFill/>
                    <a:ln>
                      <a:noFill/>
                    </a:ln>
                  </pic:spPr>
                </pic:pic>
              </a:graphicData>
            </a:graphic>
          </wp:inline>
        </w:drawing>
      </w:r>
    </w:p>
    <w:p w:rsidR="009D7665" w:rsidRPr="009D7665" w:rsidRDefault="009D7665" w:rsidP="009D7665">
      <w:pPr>
        <w:spacing w:after="225"/>
        <w:rPr>
          <w:rFonts w:ascii="inherit" w:eastAsia="Times New Roman" w:hAnsi="inherit" w:cs="Arial"/>
          <w:color w:val="222222"/>
          <w:sz w:val="20"/>
          <w:szCs w:val="20"/>
          <w:lang w:eastAsia="sv-SE"/>
        </w:rPr>
      </w:pPr>
      <w:r>
        <w:rPr>
          <w:noProof/>
          <w:lang w:eastAsia="sv-SE"/>
        </w:rPr>
        <w:drawing>
          <wp:inline distT="0" distB="0" distL="0" distR="0">
            <wp:extent cx="5408762" cy="3510189"/>
            <wp:effectExtent l="0" t="0" r="1905" b="0"/>
            <wp:docPr id="1" name="Bildobjekt 1" descr="SpiketÃ¤l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iketÃ¤lt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6245" cy="3528025"/>
                    </a:xfrm>
                    <a:prstGeom prst="rect">
                      <a:avLst/>
                    </a:prstGeom>
                    <a:noFill/>
                    <a:ln>
                      <a:noFill/>
                    </a:ln>
                  </pic:spPr>
                </pic:pic>
              </a:graphicData>
            </a:graphic>
          </wp:inline>
        </w:drawing>
      </w:r>
    </w:p>
    <w:sectPr w:rsidR="009D7665" w:rsidRPr="009D7665" w:rsidSect="009D7665">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65"/>
    <w:rsid w:val="009D7665"/>
    <w:rsid w:val="00F11F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6F110-E6CA-4435-80E3-2D22FCCA6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9D7665"/>
    <w:pPr>
      <w:spacing w:before="100" w:beforeAutospacing="1" w:after="100" w:afterAutospacing="1"/>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D7665"/>
    <w:rPr>
      <w:rFonts w:ascii="Times New Roman" w:eastAsia="Times New Roman" w:hAnsi="Times New Roman" w:cs="Times New Roman"/>
      <w:b/>
      <w:bCs/>
      <w:kern w:val="36"/>
      <w:sz w:val="48"/>
      <w:szCs w:val="48"/>
      <w:lang w:eastAsia="sv-SE"/>
    </w:rPr>
  </w:style>
  <w:style w:type="paragraph" w:customStyle="1" w:styleId="ingress">
    <w:name w:val="ingress"/>
    <w:basedOn w:val="Normal"/>
    <w:rsid w:val="009D7665"/>
    <w:pPr>
      <w:spacing w:before="100" w:beforeAutospacing="1" w:after="100" w:afterAutospacing="1"/>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9D7665"/>
    <w:pPr>
      <w:spacing w:before="100" w:beforeAutospacing="1" w:after="100" w:afterAutospacing="1"/>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9D76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037788">
      <w:bodyDiv w:val="1"/>
      <w:marLeft w:val="0"/>
      <w:marRight w:val="0"/>
      <w:marTop w:val="0"/>
      <w:marBottom w:val="0"/>
      <w:divBdr>
        <w:top w:val="none" w:sz="0" w:space="0" w:color="auto"/>
        <w:left w:val="none" w:sz="0" w:space="0" w:color="auto"/>
        <w:bottom w:val="none" w:sz="0" w:space="0" w:color="auto"/>
        <w:right w:val="none" w:sz="0" w:space="0" w:color="auto"/>
      </w:divBdr>
      <w:divsChild>
        <w:div w:id="749497406">
          <w:marLeft w:val="-225"/>
          <w:marRight w:val="-225"/>
          <w:marTop w:val="0"/>
          <w:marBottom w:val="0"/>
          <w:divBdr>
            <w:top w:val="none" w:sz="0" w:space="0" w:color="auto"/>
            <w:left w:val="none" w:sz="0" w:space="0" w:color="auto"/>
            <w:bottom w:val="none" w:sz="0" w:space="0" w:color="auto"/>
            <w:right w:val="none" w:sz="0" w:space="0" w:color="auto"/>
          </w:divBdr>
          <w:divsChild>
            <w:div w:id="300579080">
              <w:marLeft w:val="0"/>
              <w:marRight w:val="0"/>
              <w:marTop w:val="0"/>
              <w:marBottom w:val="0"/>
              <w:divBdr>
                <w:top w:val="none" w:sz="0" w:space="0" w:color="auto"/>
                <w:left w:val="none" w:sz="0" w:space="0" w:color="auto"/>
                <w:bottom w:val="none" w:sz="0" w:space="0" w:color="auto"/>
                <w:right w:val="none" w:sz="0" w:space="0" w:color="auto"/>
              </w:divBdr>
            </w:div>
            <w:div w:id="1850832408">
              <w:marLeft w:val="0"/>
              <w:marRight w:val="0"/>
              <w:marTop w:val="0"/>
              <w:marBottom w:val="0"/>
              <w:divBdr>
                <w:top w:val="none" w:sz="0" w:space="0" w:color="auto"/>
                <w:left w:val="none" w:sz="0" w:space="0" w:color="auto"/>
                <w:bottom w:val="none" w:sz="0" w:space="0" w:color="auto"/>
                <w:right w:val="none" w:sz="0" w:space="0" w:color="auto"/>
              </w:divBdr>
              <w:divsChild>
                <w:div w:id="1577278069">
                  <w:marLeft w:val="0"/>
                  <w:marRight w:val="0"/>
                  <w:marTop w:val="240"/>
                  <w:marBottom w:val="0"/>
                  <w:divBdr>
                    <w:top w:val="single" w:sz="6" w:space="4" w:color="D1DDED"/>
                    <w:left w:val="single" w:sz="6" w:space="4" w:color="D1DDED"/>
                    <w:bottom w:val="none" w:sz="0" w:space="4" w:color="auto"/>
                    <w:right w:val="single" w:sz="6" w:space="4" w:color="D1DDED"/>
                  </w:divBdr>
                </w:div>
              </w:divsChild>
            </w:div>
          </w:divsChild>
        </w:div>
        <w:div w:id="1557207205">
          <w:marLeft w:val="-225"/>
          <w:marRight w:val="-225"/>
          <w:marTop w:val="0"/>
          <w:marBottom w:val="0"/>
          <w:divBdr>
            <w:top w:val="none" w:sz="0" w:space="0" w:color="auto"/>
            <w:left w:val="none" w:sz="0" w:space="0" w:color="auto"/>
            <w:bottom w:val="none" w:sz="0" w:space="0" w:color="auto"/>
            <w:right w:val="none" w:sz="0" w:space="0" w:color="auto"/>
          </w:divBdr>
          <w:divsChild>
            <w:div w:id="908150318">
              <w:marLeft w:val="0"/>
              <w:marRight w:val="0"/>
              <w:marTop w:val="0"/>
              <w:marBottom w:val="0"/>
              <w:divBdr>
                <w:top w:val="none" w:sz="0" w:space="0" w:color="auto"/>
                <w:left w:val="none" w:sz="0" w:space="0" w:color="auto"/>
                <w:bottom w:val="none" w:sz="0" w:space="0" w:color="auto"/>
                <w:right w:val="none" w:sz="0" w:space="0" w:color="auto"/>
              </w:divBdr>
              <w:divsChild>
                <w:div w:id="1106198554">
                  <w:marLeft w:val="-225"/>
                  <w:marRight w:val="-225"/>
                  <w:marTop w:val="0"/>
                  <w:marBottom w:val="0"/>
                  <w:divBdr>
                    <w:top w:val="none" w:sz="0" w:space="0" w:color="auto"/>
                    <w:left w:val="none" w:sz="0" w:space="0" w:color="auto"/>
                    <w:bottom w:val="none" w:sz="0" w:space="0" w:color="auto"/>
                    <w:right w:val="none" w:sz="0" w:space="0" w:color="auto"/>
                  </w:divBdr>
                  <w:divsChild>
                    <w:div w:id="10598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storuman.se/contentassets/814d1d5e671e4900be85128a0af0c674/spiketalt-anvisningar.pdf"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327</Words>
  <Characters>1735</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Strandgren</dc:creator>
  <cp:keywords/>
  <dc:description/>
  <cp:lastModifiedBy>Anna Strandgren</cp:lastModifiedBy>
  <cp:revision>1</cp:revision>
  <dcterms:created xsi:type="dcterms:W3CDTF">2019-04-29T10:45:00Z</dcterms:created>
  <dcterms:modified xsi:type="dcterms:W3CDTF">2019-04-29T10:48:00Z</dcterms:modified>
</cp:coreProperties>
</file>